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587" w:rsidRDefault="00DF11D4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>Th</w:t>
      </w:r>
      <w:r w:rsidR="00666197">
        <w:rPr>
          <w:rFonts w:ascii="Arial" w:hAnsi="Arial" w:cs="Arial"/>
          <w:bCs/>
          <w:spacing w:val="-3"/>
          <w:sz w:val="22"/>
          <w:szCs w:val="22"/>
        </w:rPr>
        <w:t>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6197" w:rsidRPr="00666197">
        <w:rPr>
          <w:rFonts w:ascii="Arial" w:hAnsi="Arial" w:cs="Arial"/>
          <w:bCs/>
          <w:spacing w:val="-3"/>
          <w:sz w:val="22"/>
          <w:szCs w:val="22"/>
        </w:rPr>
        <w:t>South East Queensland Water (Distribution and Retail Restructuring) Amendment Bill 2012</w:t>
      </w:r>
      <w:r w:rsidR="00666197" w:rsidRPr="0075358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666197">
        <w:rPr>
          <w:rFonts w:ascii="Arial" w:hAnsi="Arial" w:cs="Arial"/>
          <w:bCs/>
          <w:spacing w:val="-3"/>
          <w:sz w:val="22"/>
          <w:szCs w:val="22"/>
        </w:rPr>
        <w:t xml:space="preserve">(the Bill) </w:t>
      </w:r>
      <w:r w:rsidR="00753587">
        <w:rPr>
          <w:rFonts w:ascii="Arial" w:hAnsi="Arial" w:cs="Arial"/>
          <w:bCs/>
          <w:spacing w:val="-3"/>
          <w:sz w:val="22"/>
          <w:szCs w:val="22"/>
        </w:rPr>
        <w:t xml:space="preserve">proposes </w:t>
      </w:r>
      <w:r w:rsidR="00753587" w:rsidRPr="00753587">
        <w:rPr>
          <w:rFonts w:ascii="Arial" w:hAnsi="Arial" w:cs="Arial"/>
          <w:bCs/>
          <w:spacing w:val="-3"/>
          <w:sz w:val="22"/>
          <w:szCs w:val="22"/>
        </w:rPr>
        <w:t>to remove the special industrial relations measures, in particular the Workforce Frameworks</w:t>
      </w:r>
      <w:r w:rsidR="00753587">
        <w:rPr>
          <w:rFonts w:ascii="Arial" w:hAnsi="Arial" w:cs="Arial"/>
          <w:bCs/>
          <w:spacing w:val="-3"/>
          <w:sz w:val="22"/>
          <w:szCs w:val="22"/>
        </w:rPr>
        <w:t>,</w:t>
      </w:r>
      <w:r w:rsidR="00753587" w:rsidRPr="00753587">
        <w:rPr>
          <w:rFonts w:ascii="Arial" w:hAnsi="Arial" w:cs="Arial"/>
          <w:bCs/>
          <w:spacing w:val="-3"/>
          <w:sz w:val="22"/>
          <w:szCs w:val="22"/>
        </w:rPr>
        <w:t xml:space="preserve"> that were mandated by the former </w:t>
      </w:r>
      <w:r w:rsidR="00666197">
        <w:rPr>
          <w:rFonts w:ascii="Arial" w:hAnsi="Arial" w:cs="Arial"/>
          <w:bCs/>
          <w:spacing w:val="-3"/>
          <w:sz w:val="22"/>
          <w:szCs w:val="22"/>
        </w:rPr>
        <w:t>G</w:t>
      </w:r>
      <w:r w:rsidR="00753587" w:rsidRPr="00753587">
        <w:rPr>
          <w:rFonts w:ascii="Arial" w:hAnsi="Arial" w:cs="Arial"/>
          <w:bCs/>
          <w:spacing w:val="-3"/>
          <w:sz w:val="22"/>
          <w:szCs w:val="22"/>
        </w:rPr>
        <w:t>overnment to apply to council employees who transferred to the South East Queensland (SEQ) distributor-retailers and for those Allconnex Water (Allconnex) employees transferring back to Gold Coast, Lo</w:t>
      </w:r>
      <w:r w:rsidR="00931DFB">
        <w:rPr>
          <w:rFonts w:ascii="Arial" w:hAnsi="Arial" w:cs="Arial"/>
          <w:bCs/>
          <w:spacing w:val="-3"/>
          <w:sz w:val="22"/>
          <w:szCs w:val="22"/>
        </w:rPr>
        <w:t>gan and Redland City Councils.</w:t>
      </w:r>
    </w:p>
    <w:p w:rsidR="00297423" w:rsidRDefault="00753587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3587">
        <w:rPr>
          <w:rFonts w:ascii="Arial" w:hAnsi="Arial" w:cs="Arial"/>
          <w:bCs/>
          <w:spacing w:val="-3"/>
          <w:sz w:val="22"/>
          <w:szCs w:val="22"/>
        </w:rPr>
        <w:t xml:space="preserve">The Bill </w:t>
      </w:r>
      <w:r w:rsidR="00A56B5A">
        <w:rPr>
          <w:rFonts w:ascii="Arial" w:hAnsi="Arial" w:cs="Arial"/>
          <w:bCs/>
          <w:spacing w:val="-3"/>
          <w:sz w:val="22"/>
          <w:szCs w:val="22"/>
        </w:rPr>
        <w:t>will have the effect of shortening the application of the 2009 Workforce Framework by one year and prevent the 2012 Workforc</w:t>
      </w:r>
      <w:r w:rsidR="00931DFB">
        <w:rPr>
          <w:rFonts w:ascii="Arial" w:hAnsi="Arial" w:cs="Arial"/>
          <w:bCs/>
          <w:spacing w:val="-3"/>
          <w:sz w:val="22"/>
          <w:szCs w:val="22"/>
        </w:rPr>
        <w:t>e Framework from having effect.</w:t>
      </w:r>
    </w:p>
    <w:p w:rsidR="00A56B5A" w:rsidRDefault="00A56B5A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2009 </w:t>
      </w:r>
      <w:r w:rsidR="00666197">
        <w:rPr>
          <w:rFonts w:ascii="Arial" w:hAnsi="Arial" w:cs="Arial"/>
          <w:bCs/>
          <w:spacing w:val="-3"/>
          <w:sz w:val="22"/>
          <w:szCs w:val="22"/>
        </w:rPr>
        <w:t>Workforce F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ramework applied in relation to the original water reform project in 2010 when council staff were transferred to one of the </w:t>
      </w:r>
      <w:r w:rsidR="00753587">
        <w:rPr>
          <w:rFonts w:ascii="Arial" w:hAnsi="Arial" w:cs="Arial"/>
          <w:bCs/>
          <w:spacing w:val="-3"/>
          <w:sz w:val="22"/>
          <w:szCs w:val="22"/>
        </w:rPr>
        <w:t>three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53587">
        <w:rPr>
          <w:rFonts w:ascii="Arial" w:hAnsi="Arial" w:cs="Arial"/>
          <w:bCs/>
          <w:spacing w:val="-3"/>
          <w:sz w:val="22"/>
          <w:szCs w:val="22"/>
        </w:rPr>
        <w:t>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istributor-retailers, Queensland Urban Utilities, Unitywater </w:t>
      </w:r>
      <w:r w:rsidR="00753587">
        <w:rPr>
          <w:rFonts w:ascii="Arial" w:hAnsi="Arial" w:cs="Arial"/>
          <w:bCs/>
          <w:spacing w:val="-3"/>
          <w:sz w:val="22"/>
          <w:szCs w:val="22"/>
        </w:rPr>
        <w:t>and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Allconnex. Originally, the framework was to operate for approximately </w:t>
      </w:r>
      <w:r w:rsidR="00753587">
        <w:rPr>
          <w:rFonts w:ascii="Arial" w:hAnsi="Arial" w:cs="Arial"/>
          <w:bCs/>
          <w:spacing w:val="-3"/>
          <w:sz w:val="22"/>
          <w:szCs w:val="22"/>
        </w:rPr>
        <w:t>three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years</w:t>
      </w:r>
      <w:r w:rsidR="004B026A">
        <w:rPr>
          <w:rFonts w:ascii="Arial" w:hAnsi="Arial" w:cs="Arial"/>
          <w:bCs/>
          <w:spacing w:val="-3"/>
          <w:sz w:val="22"/>
          <w:szCs w:val="22"/>
        </w:rPr>
        <w:t xml:space="preserve"> from 1 July 2010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</w:t>
      </w:r>
      <w:r w:rsidR="004B026A">
        <w:rPr>
          <w:rFonts w:ascii="Arial" w:hAnsi="Arial" w:cs="Arial"/>
          <w:bCs/>
          <w:spacing w:val="-3"/>
          <w:sz w:val="22"/>
          <w:szCs w:val="22"/>
        </w:rPr>
        <w:t xml:space="preserve">or </w:t>
      </w:r>
      <w:r>
        <w:rPr>
          <w:rFonts w:ascii="Arial" w:hAnsi="Arial" w:cs="Arial"/>
          <w:bCs/>
          <w:spacing w:val="-3"/>
          <w:sz w:val="22"/>
          <w:szCs w:val="22"/>
        </w:rPr>
        <w:t>from when the affected employee transferred to Allconnex).</w:t>
      </w:r>
    </w:p>
    <w:p w:rsidR="00A56B5A" w:rsidRDefault="00A56B5A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2012 </w:t>
      </w:r>
      <w:r w:rsidR="00666197">
        <w:rPr>
          <w:rFonts w:ascii="Arial" w:hAnsi="Arial" w:cs="Arial"/>
          <w:bCs/>
          <w:spacing w:val="-3"/>
          <w:sz w:val="22"/>
          <w:szCs w:val="22"/>
        </w:rPr>
        <w:t>Workforce F</w:t>
      </w:r>
      <w:r>
        <w:rPr>
          <w:rFonts w:ascii="Arial" w:hAnsi="Arial" w:cs="Arial"/>
          <w:bCs/>
          <w:spacing w:val="-3"/>
          <w:sz w:val="22"/>
          <w:szCs w:val="22"/>
        </w:rPr>
        <w:t>ramework applied in relation to the upcoming retransfers of employees from Allconnex back to council</w:t>
      </w:r>
      <w:r w:rsidR="00753587">
        <w:rPr>
          <w:rFonts w:ascii="Arial" w:hAnsi="Arial" w:cs="Arial"/>
          <w:bCs/>
          <w:spacing w:val="-3"/>
          <w:sz w:val="22"/>
          <w:szCs w:val="22"/>
        </w:rPr>
        <w:t>s</w:t>
      </w:r>
      <w:r>
        <w:rPr>
          <w:rFonts w:ascii="Arial" w:hAnsi="Arial" w:cs="Arial"/>
          <w:bCs/>
          <w:spacing w:val="-3"/>
          <w:sz w:val="22"/>
          <w:szCs w:val="22"/>
        </w:rPr>
        <w:t>, in ligh</w:t>
      </w:r>
      <w:r w:rsidR="00931DFB">
        <w:rPr>
          <w:rFonts w:ascii="Arial" w:hAnsi="Arial" w:cs="Arial"/>
          <w:bCs/>
          <w:spacing w:val="-3"/>
          <w:sz w:val="22"/>
          <w:szCs w:val="22"/>
        </w:rPr>
        <w:t>t of the wind up of Allconnex.</w:t>
      </w:r>
    </w:p>
    <w:p w:rsidR="00A56B5A" w:rsidRDefault="00A56B5A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Both frameworks provide particular job security and other entitlements in relation to the reform agendas. In particular, a period of ‘no forced redundancy’ protections, travel and relocation allowances</w:t>
      </w:r>
      <w:r w:rsidR="00666197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salary maintenance provisions were mandated under the arrangements. </w:t>
      </w:r>
      <w:r w:rsidR="004B026A">
        <w:rPr>
          <w:rFonts w:ascii="Arial" w:hAnsi="Arial" w:cs="Arial"/>
          <w:bCs/>
          <w:spacing w:val="-3"/>
          <w:sz w:val="22"/>
          <w:szCs w:val="22"/>
        </w:rPr>
        <w:t>These items add significant operating costs.</w:t>
      </w:r>
    </w:p>
    <w:p w:rsidR="00A56B5A" w:rsidRDefault="00A56B5A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In addition</w:t>
      </w:r>
      <w:r w:rsidR="00051B93">
        <w:rPr>
          <w:rFonts w:ascii="Arial" w:hAnsi="Arial" w:cs="Arial"/>
          <w:bCs/>
          <w:spacing w:val="-3"/>
          <w:sz w:val="22"/>
          <w:szCs w:val="22"/>
        </w:rPr>
        <w:t>,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the Bill proposes</w:t>
      </w:r>
      <w:r w:rsidR="00753587"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4B026A">
        <w:rPr>
          <w:rFonts w:ascii="Arial" w:hAnsi="Arial" w:cs="Arial"/>
          <w:bCs/>
          <w:spacing w:val="-3"/>
          <w:sz w:val="22"/>
          <w:szCs w:val="22"/>
        </w:rPr>
        <w:t>remove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transitional period protections applying to Allconnex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 staff after retransfer back to council</w:t>
      </w:r>
      <w:r w:rsidR="004B026A">
        <w:rPr>
          <w:rFonts w:ascii="Arial" w:hAnsi="Arial" w:cs="Arial"/>
          <w:bCs/>
          <w:spacing w:val="-3"/>
          <w:sz w:val="22"/>
          <w:szCs w:val="22"/>
        </w:rPr>
        <w:t xml:space="preserve">. These continued 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the relevant industrial relations </w:t>
      </w:r>
      <w:r w:rsidR="004B026A">
        <w:rPr>
          <w:rFonts w:ascii="Arial" w:hAnsi="Arial" w:cs="Arial"/>
          <w:bCs/>
          <w:spacing w:val="-3"/>
          <w:sz w:val="22"/>
          <w:szCs w:val="22"/>
        </w:rPr>
        <w:t xml:space="preserve">arrangements which applied to staff whilst they were at </w:t>
      </w:r>
      <w:r w:rsidR="00051B93">
        <w:rPr>
          <w:rFonts w:ascii="Arial" w:hAnsi="Arial" w:cs="Arial"/>
          <w:bCs/>
          <w:spacing w:val="-3"/>
          <w:sz w:val="22"/>
          <w:szCs w:val="22"/>
        </w:rPr>
        <w:t>Allconnex</w:t>
      </w:r>
      <w:r w:rsidR="004B026A">
        <w:rPr>
          <w:rFonts w:ascii="Arial" w:hAnsi="Arial" w:cs="Arial"/>
          <w:bCs/>
          <w:spacing w:val="-3"/>
          <w:sz w:val="22"/>
          <w:szCs w:val="22"/>
        </w:rPr>
        <w:t>,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 until such time as </w:t>
      </w:r>
      <w:r w:rsidR="0075358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051B93">
        <w:rPr>
          <w:rFonts w:ascii="Arial" w:hAnsi="Arial" w:cs="Arial"/>
          <w:bCs/>
          <w:spacing w:val="-3"/>
          <w:sz w:val="22"/>
          <w:szCs w:val="22"/>
        </w:rPr>
        <w:t>Gold Coast, Redland and Logan City Council</w:t>
      </w:r>
      <w:r w:rsidR="00753587">
        <w:rPr>
          <w:rFonts w:ascii="Arial" w:hAnsi="Arial" w:cs="Arial"/>
          <w:bCs/>
          <w:spacing w:val="-3"/>
          <w:sz w:val="22"/>
          <w:szCs w:val="22"/>
        </w:rPr>
        <w:t>s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 could make new Enterprise Bargaining Agreements </w:t>
      </w:r>
      <w:r w:rsidR="004B026A">
        <w:rPr>
          <w:rFonts w:ascii="Arial" w:hAnsi="Arial" w:cs="Arial"/>
          <w:bCs/>
          <w:spacing w:val="-3"/>
          <w:sz w:val="22"/>
          <w:szCs w:val="22"/>
        </w:rPr>
        <w:t>for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 retransferred staff. These provisions will be removed from 30 June 2012 so</w:t>
      </w:r>
      <w:r w:rsidR="00753587">
        <w:rPr>
          <w:rFonts w:ascii="Arial" w:hAnsi="Arial" w:cs="Arial"/>
          <w:bCs/>
          <w:spacing w:val="-3"/>
          <w:sz w:val="22"/>
          <w:szCs w:val="22"/>
        </w:rPr>
        <w:t xml:space="preserve"> that the participating council</w:t>
      </w:r>
      <w:r w:rsidR="00051B93">
        <w:rPr>
          <w:rFonts w:ascii="Arial" w:hAnsi="Arial" w:cs="Arial"/>
          <w:bCs/>
          <w:spacing w:val="-3"/>
          <w:sz w:val="22"/>
          <w:szCs w:val="22"/>
        </w:rPr>
        <w:t>s</w:t>
      </w:r>
      <w:r w:rsidR="00753587">
        <w:rPr>
          <w:rFonts w:ascii="Arial" w:hAnsi="Arial" w:cs="Arial"/>
          <w:bCs/>
          <w:spacing w:val="-3"/>
          <w:sz w:val="22"/>
          <w:szCs w:val="22"/>
        </w:rPr>
        <w:t>’</w:t>
      </w:r>
      <w:r w:rsidR="00051B93">
        <w:rPr>
          <w:rFonts w:ascii="Arial" w:hAnsi="Arial" w:cs="Arial"/>
          <w:bCs/>
          <w:spacing w:val="-3"/>
          <w:sz w:val="22"/>
          <w:szCs w:val="22"/>
        </w:rPr>
        <w:t xml:space="preserve"> existing Enterprise Bargaining Agreement arrangements will apply to retransferred employees</w:t>
      </w:r>
      <w:r w:rsidR="00931DFB">
        <w:rPr>
          <w:rFonts w:ascii="Arial" w:hAnsi="Arial" w:cs="Arial"/>
          <w:bCs/>
          <w:spacing w:val="-3"/>
          <w:sz w:val="22"/>
          <w:szCs w:val="22"/>
        </w:rPr>
        <w:t xml:space="preserve"> (where the agreement allows).</w:t>
      </w:r>
    </w:p>
    <w:p w:rsidR="00A56B5A" w:rsidRDefault="00051B93" w:rsidP="00503F78">
      <w:pPr>
        <w:numPr>
          <w:ilvl w:val="0"/>
          <w:numId w:val="3"/>
        </w:numPr>
        <w:tabs>
          <w:tab w:val="clear" w:pos="720"/>
          <w:tab w:val="num" w:pos="360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This raft of additional</w:t>
      </w:r>
      <w:r w:rsidR="00A56B5A">
        <w:rPr>
          <w:rFonts w:ascii="Arial" w:hAnsi="Arial" w:cs="Arial"/>
          <w:bCs/>
          <w:spacing w:val="-3"/>
          <w:sz w:val="22"/>
          <w:szCs w:val="22"/>
        </w:rPr>
        <w:t xml:space="preserve"> industrial relations measures were put in place by the </w:t>
      </w:r>
      <w:r w:rsidR="00666197">
        <w:rPr>
          <w:rFonts w:ascii="Arial" w:hAnsi="Arial" w:cs="Arial"/>
          <w:bCs/>
          <w:spacing w:val="-3"/>
          <w:sz w:val="22"/>
          <w:szCs w:val="22"/>
        </w:rPr>
        <w:t>former G</w:t>
      </w:r>
      <w:r w:rsidR="00A56B5A">
        <w:rPr>
          <w:rFonts w:ascii="Arial" w:hAnsi="Arial" w:cs="Arial"/>
          <w:bCs/>
          <w:spacing w:val="-3"/>
          <w:sz w:val="22"/>
          <w:szCs w:val="22"/>
        </w:rPr>
        <w:t xml:space="preserve">overnment. </w:t>
      </w:r>
      <w:r>
        <w:rPr>
          <w:rFonts w:ascii="Arial" w:hAnsi="Arial" w:cs="Arial"/>
          <w:bCs/>
          <w:spacing w:val="-3"/>
          <w:sz w:val="22"/>
          <w:szCs w:val="22"/>
        </w:rPr>
        <w:t>The Bill proposes to remove these additional measures and allow local governments the flexibility to apply the ordinary lawful industrial relations measures</w:t>
      </w:r>
      <w:r w:rsidR="004B026A">
        <w:rPr>
          <w:rFonts w:ascii="Arial" w:hAnsi="Arial" w:cs="Arial"/>
          <w:bCs/>
          <w:spacing w:val="-3"/>
          <w:sz w:val="22"/>
          <w:szCs w:val="22"/>
        </w:rPr>
        <w:t xml:space="preserve"> as for all of their other employees</w:t>
      </w:r>
      <w:r w:rsidR="00931DFB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97423" w:rsidRPr="00503F78" w:rsidRDefault="00297423" w:rsidP="00503F78">
      <w:pPr>
        <w:numPr>
          <w:ilvl w:val="0"/>
          <w:numId w:val="3"/>
        </w:numPr>
        <w:tabs>
          <w:tab w:val="clear" w:pos="720"/>
          <w:tab w:val="num" w:pos="360"/>
          <w:tab w:val="num" w:pos="567"/>
        </w:tabs>
        <w:spacing w:before="240"/>
        <w:ind w:left="360" w:right="142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72E3">
        <w:rPr>
          <w:rFonts w:ascii="Arial" w:hAnsi="Arial" w:cs="Arial"/>
          <w:sz w:val="22"/>
          <w:szCs w:val="22"/>
          <w:u w:val="single"/>
        </w:rPr>
        <w:t>Cabinet approved</w:t>
      </w:r>
      <w:r w:rsidR="00503F78">
        <w:rPr>
          <w:rFonts w:ascii="Arial" w:hAnsi="Arial" w:cs="Arial"/>
          <w:sz w:val="22"/>
          <w:szCs w:val="22"/>
        </w:rPr>
        <w:t xml:space="preserve"> t</w:t>
      </w:r>
      <w:r w:rsidR="00A56B5A" w:rsidRPr="00503F78">
        <w:rPr>
          <w:rFonts w:ascii="Arial" w:hAnsi="Arial" w:cs="Arial"/>
          <w:sz w:val="22"/>
          <w:szCs w:val="22"/>
        </w:rPr>
        <w:t xml:space="preserve">hat the </w:t>
      </w:r>
      <w:r w:rsidR="00384FD9" w:rsidRPr="00384FD9">
        <w:rPr>
          <w:rFonts w:ascii="Arial" w:hAnsi="Arial" w:cs="Arial"/>
          <w:sz w:val="22"/>
          <w:szCs w:val="22"/>
        </w:rPr>
        <w:t xml:space="preserve">South </w:t>
      </w:r>
      <w:smartTag w:uri="urn:schemas-microsoft-com:office:smarttags" w:element="place">
        <w:r w:rsidR="00384FD9" w:rsidRPr="00384FD9">
          <w:rPr>
            <w:rFonts w:ascii="Arial" w:hAnsi="Arial" w:cs="Arial"/>
            <w:sz w:val="22"/>
            <w:szCs w:val="22"/>
          </w:rPr>
          <w:t>East Queensland</w:t>
        </w:r>
      </w:smartTag>
      <w:r w:rsidR="00384FD9" w:rsidRPr="00384FD9">
        <w:rPr>
          <w:rFonts w:ascii="Arial" w:hAnsi="Arial" w:cs="Arial"/>
          <w:sz w:val="22"/>
          <w:szCs w:val="22"/>
        </w:rPr>
        <w:t xml:space="preserve"> Water (Distribution and Retail Restructuring) (Workforce Framework) Amendment Bill 2012</w:t>
      </w:r>
      <w:r w:rsidR="00384FD9">
        <w:rPr>
          <w:rFonts w:ascii="Arial" w:hAnsi="Arial" w:cs="Arial"/>
          <w:sz w:val="22"/>
          <w:szCs w:val="22"/>
        </w:rPr>
        <w:t xml:space="preserve"> </w:t>
      </w:r>
      <w:r w:rsidR="00A56B5A" w:rsidRPr="00503F78">
        <w:rPr>
          <w:rFonts w:ascii="Arial" w:hAnsi="Arial" w:cs="Arial"/>
          <w:sz w:val="22"/>
          <w:szCs w:val="22"/>
        </w:rPr>
        <w:t>be introduc</w:t>
      </w:r>
      <w:r w:rsidR="00666197" w:rsidRPr="00503F78">
        <w:rPr>
          <w:rFonts w:ascii="Arial" w:hAnsi="Arial" w:cs="Arial"/>
          <w:sz w:val="22"/>
          <w:szCs w:val="22"/>
        </w:rPr>
        <w:t>ed</w:t>
      </w:r>
      <w:r w:rsidR="00A56B5A" w:rsidRPr="00503F78">
        <w:rPr>
          <w:rFonts w:ascii="Arial" w:hAnsi="Arial" w:cs="Arial"/>
          <w:sz w:val="22"/>
          <w:szCs w:val="22"/>
        </w:rPr>
        <w:t xml:space="preserve"> </w:t>
      </w:r>
      <w:r w:rsidR="00666197" w:rsidRPr="00503F78">
        <w:rPr>
          <w:rFonts w:ascii="Arial" w:hAnsi="Arial" w:cs="Arial"/>
          <w:sz w:val="22"/>
          <w:szCs w:val="22"/>
        </w:rPr>
        <w:t>in</w:t>
      </w:r>
      <w:r w:rsidR="00A56B5A" w:rsidRPr="00503F78">
        <w:rPr>
          <w:rFonts w:ascii="Arial" w:hAnsi="Arial" w:cs="Arial"/>
          <w:sz w:val="22"/>
          <w:szCs w:val="22"/>
        </w:rPr>
        <w:t xml:space="preserve">to </w:t>
      </w:r>
      <w:r w:rsidR="00666197" w:rsidRPr="00503F78">
        <w:rPr>
          <w:rFonts w:ascii="Arial" w:hAnsi="Arial" w:cs="Arial"/>
          <w:sz w:val="22"/>
          <w:szCs w:val="22"/>
        </w:rPr>
        <w:t>the Legislative Assembly</w:t>
      </w:r>
      <w:r w:rsidR="00A56B5A" w:rsidRPr="00503F78">
        <w:rPr>
          <w:rFonts w:ascii="Arial" w:hAnsi="Arial" w:cs="Arial"/>
          <w:sz w:val="22"/>
          <w:szCs w:val="22"/>
        </w:rPr>
        <w:t>.</w:t>
      </w:r>
    </w:p>
    <w:p w:rsidR="00297423" w:rsidRPr="00CE6FBA" w:rsidRDefault="00297423" w:rsidP="00503F78">
      <w:pPr>
        <w:spacing w:before="120"/>
        <w:ind w:right="142"/>
        <w:jc w:val="both"/>
        <w:rPr>
          <w:rFonts w:ascii="Arial" w:hAnsi="Arial" w:cs="Arial"/>
          <w:spacing w:val="-3"/>
          <w:sz w:val="22"/>
          <w:szCs w:val="22"/>
        </w:rPr>
      </w:pPr>
    </w:p>
    <w:p w:rsidR="00297423" w:rsidRPr="00D94958" w:rsidRDefault="00297423" w:rsidP="00503F78">
      <w:pPr>
        <w:keepNext/>
        <w:numPr>
          <w:ilvl w:val="0"/>
          <w:numId w:val="3"/>
        </w:numPr>
        <w:tabs>
          <w:tab w:val="clear" w:pos="720"/>
          <w:tab w:val="num" w:pos="360"/>
        </w:tabs>
        <w:ind w:left="357" w:right="142" w:hanging="357"/>
        <w:jc w:val="both"/>
        <w:rPr>
          <w:rFonts w:ascii="Arial" w:hAnsi="Arial" w:cs="Arial"/>
          <w:sz w:val="22"/>
          <w:szCs w:val="22"/>
        </w:rPr>
      </w:pPr>
      <w:r w:rsidRPr="00D94958">
        <w:rPr>
          <w:rFonts w:ascii="Arial" w:hAnsi="Arial" w:cs="Arial"/>
          <w:sz w:val="22"/>
          <w:szCs w:val="22"/>
          <w:u w:val="single"/>
        </w:rPr>
        <w:t>Attachments</w:t>
      </w:r>
    </w:p>
    <w:p w:rsidR="00297423" w:rsidRPr="00666197" w:rsidRDefault="00CD563F" w:rsidP="00503F78">
      <w:pPr>
        <w:numPr>
          <w:ilvl w:val="0"/>
          <w:numId w:val="4"/>
        </w:numPr>
        <w:tabs>
          <w:tab w:val="num" w:pos="280"/>
        </w:tabs>
        <w:spacing w:before="120"/>
        <w:ind w:left="811" w:right="142"/>
        <w:jc w:val="both"/>
        <w:rPr>
          <w:rFonts w:ascii="Arial" w:hAnsi="Arial" w:cs="Arial"/>
          <w:sz w:val="22"/>
          <w:szCs w:val="22"/>
        </w:rPr>
      </w:pPr>
      <w:hyperlink r:id="rId7" w:history="1">
        <w:r w:rsidR="00A56B5A" w:rsidRPr="0027550E">
          <w:rPr>
            <w:rStyle w:val="Hyperlink"/>
            <w:rFonts w:ascii="Arial" w:hAnsi="Arial" w:cs="Arial"/>
            <w:sz w:val="22"/>
            <w:szCs w:val="22"/>
          </w:rPr>
          <w:t>South</w:t>
        </w:r>
        <w:r w:rsidR="00666197" w:rsidRPr="0027550E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A56B5A" w:rsidRPr="0027550E">
          <w:rPr>
            <w:rStyle w:val="Hyperlink"/>
            <w:rFonts w:ascii="Arial" w:hAnsi="Arial" w:cs="Arial"/>
            <w:sz w:val="22"/>
            <w:szCs w:val="22"/>
          </w:rPr>
          <w:t>East Queensland Water (Distribution and Retail Restructuring) (Workforce Framework) Amendment Bill 2012</w:t>
        </w:r>
      </w:hyperlink>
    </w:p>
    <w:p w:rsidR="00A56B5A" w:rsidRPr="00C07656" w:rsidRDefault="00CD563F" w:rsidP="00503F78">
      <w:pPr>
        <w:numPr>
          <w:ilvl w:val="0"/>
          <w:numId w:val="4"/>
        </w:numPr>
        <w:tabs>
          <w:tab w:val="num" w:pos="280"/>
        </w:tabs>
        <w:spacing w:before="120"/>
        <w:ind w:left="811" w:right="142"/>
        <w:jc w:val="both"/>
        <w:rPr>
          <w:rFonts w:ascii="Arial" w:hAnsi="Arial" w:cs="Arial"/>
          <w:sz w:val="22"/>
          <w:szCs w:val="22"/>
        </w:rPr>
      </w:pPr>
      <w:hyperlink r:id="rId8" w:history="1">
        <w:r w:rsidR="00753587" w:rsidRPr="0027550E">
          <w:rPr>
            <w:rStyle w:val="Hyperlink"/>
            <w:rFonts w:ascii="Arial" w:hAnsi="Arial" w:cs="Arial"/>
            <w:sz w:val="22"/>
            <w:szCs w:val="22"/>
          </w:rPr>
          <w:t>Explanatory Notes for the Bill</w:t>
        </w:r>
      </w:hyperlink>
    </w:p>
    <w:p w:rsidR="005E1434" w:rsidRPr="00297423" w:rsidRDefault="005E1434" w:rsidP="00297423"/>
    <w:sectPr w:rsidR="005E1434" w:rsidRPr="00297423" w:rsidSect="00503F78">
      <w:headerReference w:type="default" r:id="rId9"/>
      <w:footerReference w:type="default" r:id="rId10"/>
      <w:headerReference w:type="first" r:id="rId11"/>
      <w:pgSz w:w="11907" w:h="16840" w:code="9"/>
      <w:pgMar w:top="1440" w:right="1134" w:bottom="1440" w:left="1134" w:header="851" w:footer="851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F19" w:rsidRDefault="007D4F19">
      <w:r>
        <w:separator/>
      </w:r>
    </w:p>
  </w:endnote>
  <w:endnote w:type="continuationSeparator" w:id="0">
    <w:p w:rsidR="007D4F19" w:rsidRDefault="007D4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6A" w:rsidRPr="001141E1" w:rsidRDefault="004B026A" w:rsidP="00E36320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F19" w:rsidRDefault="007D4F19">
      <w:r>
        <w:separator/>
      </w:r>
    </w:p>
  </w:footnote>
  <w:footnote w:type="continuationSeparator" w:id="0">
    <w:p w:rsidR="007D4F19" w:rsidRDefault="007D4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6A" w:rsidRPr="000400F9" w:rsidRDefault="00EE1969" w:rsidP="00E3632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26A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4B026A">
      <w:rPr>
        <w:rFonts w:ascii="Arial" w:hAnsi="Arial" w:cs="Arial"/>
        <w:b/>
        <w:sz w:val="22"/>
        <w:szCs w:val="22"/>
        <w:u w:val="single"/>
      </w:rPr>
      <w:t>month year</w:t>
    </w:r>
  </w:p>
  <w:p w:rsidR="004B026A" w:rsidRDefault="004B026A" w:rsidP="00E363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submission subject</w:t>
    </w:r>
  </w:p>
  <w:p w:rsidR="004B026A" w:rsidRDefault="004B026A" w:rsidP="00E3632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Minister/s title</w:t>
    </w:r>
  </w:p>
  <w:p w:rsidR="004B026A" w:rsidRPr="00F10DF9" w:rsidRDefault="004B026A" w:rsidP="00E36320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F78" w:rsidRPr="00D75134" w:rsidRDefault="00503F78" w:rsidP="00503F7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:rsidR="00503F78" w:rsidRPr="00D75134" w:rsidRDefault="00503F78" w:rsidP="00503F7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503F78" w:rsidRPr="001E209B" w:rsidRDefault="00503F78" w:rsidP="00503F78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>
      <w:rPr>
        <w:rFonts w:ascii="Arial" w:hAnsi="Arial" w:cs="Arial"/>
        <w:b/>
        <w:sz w:val="22"/>
        <w:szCs w:val="22"/>
      </w:rPr>
      <w:t>June</w:t>
    </w:r>
    <w:r w:rsidRPr="001E209B">
      <w:rPr>
        <w:rFonts w:ascii="Arial" w:hAnsi="Arial" w:cs="Arial"/>
        <w:b/>
        <w:sz w:val="22"/>
        <w:szCs w:val="22"/>
      </w:rPr>
      <w:t xml:space="preserve"> 2012</w:t>
    </w:r>
  </w:p>
  <w:p w:rsidR="00503F78" w:rsidRDefault="00503F78" w:rsidP="00503F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South East Queensland Water (Distribution and Retail Restructuring) Amendment Bill 2012</w:t>
    </w:r>
  </w:p>
  <w:p w:rsidR="00503F78" w:rsidRDefault="00503F78" w:rsidP="00503F78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Energy and Water Supply</w:t>
    </w:r>
  </w:p>
  <w:p w:rsidR="00503F78" w:rsidRDefault="00503F78" w:rsidP="00503F78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16565"/>
    <w:multiLevelType w:val="hybridMultilevel"/>
    <w:tmpl w:val="2352574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974900"/>
    <w:multiLevelType w:val="hybridMultilevel"/>
    <w:tmpl w:val="835E42D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600E3"/>
    <w:multiLevelType w:val="hybridMultilevel"/>
    <w:tmpl w:val="99FA90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62A5CD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40450"/>
    <w:multiLevelType w:val="hybridMultilevel"/>
    <w:tmpl w:val="1B7CCEE0"/>
    <w:lvl w:ilvl="0" w:tplc="87DA3FC2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z w:val="22"/>
      </w:rPr>
    </w:lvl>
    <w:lvl w:ilvl="1" w:tplc="B7A0238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75BE4382"/>
    <w:multiLevelType w:val="hybridMultilevel"/>
    <w:tmpl w:val="E98426A2"/>
    <w:lvl w:ilvl="0" w:tplc="97A64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A0238C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  <w:color w:val="auto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23"/>
    <w:rsid w:val="000437B9"/>
    <w:rsid w:val="00051B93"/>
    <w:rsid w:val="0005439F"/>
    <w:rsid w:val="000D5089"/>
    <w:rsid w:val="0012048E"/>
    <w:rsid w:val="00194A10"/>
    <w:rsid w:val="001E4E1B"/>
    <w:rsid w:val="00203788"/>
    <w:rsid w:val="0027550E"/>
    <w:rsid w:val="00297423"/>
    <w:rsid w:val="00320EA5"/>
    <w:rsid w:val="00344183"/>
    <w:rsid w:val="00384FD9"/>
    <w:rsid w:val="00402BAA"/>
    <w:rsid w:val="004B026A"/>
    <w:rsid w:val="004D6A2B"/>
    <w:rsid w:val="00503F78"/>
    <w:rsid w:val="005E1434"/>
    <w:rsid w:val="00653482"/>
    <w:rsid w:val="00666197"/>
    <w:rsid w:val="006F135C"/>
    <w:rsid w:val="00753587"/>
    <w:rsid w:val="007D4F19"/>
    <w:rsid w:val="00803B59"/>
    <w:rsid w:val="00931DFB"/>
    <w:rsid w:val="00A56B5A"/>
    <w:rsid w:val="00A73127"/>
    <w:rsid w:val="00BB77DE"/>
    <w:rsid w:val="00CD4A47"/>
    <w:rsid w:val="00CD563F"/>
    <w:rsid w:val="00DB1497"/>
    <w:rsid w:val="00DF11D4"/>
    <w:rsid w:val="00DF236C"/>
    <w:rsid w:val="00DF41C8"/>
    <w:rsid w:val="00E36320"/>
    <w:rsid w:val="00ED4010"/>
    <w:rsid w:val="00EE1969"/>
    <w:rsid w:val="00F25D8B"/>
    <w:rsid w:val="00FB781B"/>
    <w:rsid w:val="00FC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423"/>
    <w:rPr>
      <w:color w:val="000000"/>
      <w:sz w:val="24"/>
    </w:rPr>
  </w:style>
  <w:style w:type="paragraph" w:styleId="Heading2">
    <w:name w:val="heading 2"/>
    <w:basedOn w:val="Normal"/>
    <w:next w:val="Normal"/>
    <w:qFormat/>
    <w:rsid w:val="0029742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297423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97423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297423"/>
  </w:style>
  <w:style w:type="paragraph" w:styleId="Footer">
    <w:name w:val="footer"/>
    <w:basedOn w:val="Normal"/>
    <w:rsid w:val="0029742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9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B026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503F78"/>
    <w:rPr>
      <w:sz w:val="24"/>
    </w:rPr>
  </w:style>
  <w:style w:type="character" w:styleId="Hyperlink">
    <w:name w:val="Hyperlink"/>
    <w:basedOn w:val="DefaultParagraphFont"/>
    <w:rsid w:val="00275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SEQWaterAmB12Exp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SEQWaterAmB1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2355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2741</CharactersWithSpaces>
  <SharedDoc>false</SharedDoc>
  <HyperlinkBase>https://www.cabinet.qld.gov.au/documents/2012/Jun/SEQ Water (Distribution and Retail Restructuring) Amendment Bill 2012/</HyperlinkBase>
  <HLinks>
    <vt:vector size="12" baseType="variant">
      <vt:variant>
        <vt:i4>524291</vt:i4>
      </vt:variant>
      <vt:variant>
        <vt:i4>3</vt:i4>
      </vt:variant>
      <vt:variant>
        <vt:i4>0</vt:i4>
      </vt:variant>
      <vt:variant>
        <vt:i4>5</vt:i4>
      </vt:variant>
      <vt:variant>
        <vt:lpwstr>attachments/SEQWaterAmB12Exp.pdf</vt:lpwstr>
      </vt:variant>
      <vt:variant>
        <vt:lpwstr/>
      </vt:variant>
      <vt:variant>
        <vt:i4>4259905</vt:i4>
      </vt:variant>
      <vt:variant>
        <vt:i4>0</vt:i4>
      </vt:variant>
      <vt:variant>
        <vt:i4>0</vt:i4>
      </vt:variant>
      <vt:variant>
        <vt:i4>5</vt:i4>
      </vt:variant>
      <vt:variant>
        <vt:lpwstr>attachments/SEQWaterAmB12.pdf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2012-08-20T01:54:00Z</cp:lastPrinted>
  <dcterms:created xsi:type="dcterms:W3CDTF">2017-10-24T23:19:00Z</dcterms:created>
  <dcterms:modified xsi:type="dcterms:W3CDTF">2018-03-06T01:13:00Z</dcterms:modified>
  <cp:category>Water,Legislation,Industrial_Relations</cp:category>
</cp:coreProperties>
</file>